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红十字会本级</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红十字会</w:t>
      </w:r>
      <w:r>
        <w:rPr>
          <w:rFonts w:ascii="Times New Roman" w:hAnsi="Times New Roman" w:eastAsia="仿宋_GB2312" w:cs="Times New Roman"/>
          <w:sz w:val="32"/>
          <w:szCs w:val="32"/>
        </w:rPr>
        <w:t>2022年单位预算公开如下：</w:t>
      </w:r>
    </w:p>
    <w:p>
      <w:pPr>
        <w:numPr>
          <w:ilvl w:val="0"/>
          <w:numId w:val="1"/>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根据《香河县红十字会职能配置、内设机构和人员编制规定》， 香河县红十字会的主要职责是：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一、认真贯彻执行《中华人民共和国红十字会法》和《中国红十字会章程》，指导全县各级红十字会及行业红十字会工作，推动全县红十字会各项工作的开展。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二、开展救援、救灾相关工作，建立红十字救援体系。在战争、武装冲突和自然灾害、公共卫生事件等突发事件中，对伤病人员和其他受害者提供紧急救援和人道救助。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三、开展应急救护培训，普及应急救护、防灾避险和卫生健康知识，组织志愿者参与现场救护。                   </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参与、推动无偿献血宣传动员、组织招募和表彰奖励等工作；参与、推动遗体和人体器官捐献宣传动员、报名登记、捐献见证、困难救助、缅怀纪念等工作，参与开展造血干细胞捐献动员征集、血样检测、信息录入、联系确认、捐献随访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五、组织开展红十字志愿服务、红十字青少年工作。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六、参加国际人道主义救援工作。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七、宣传国际红十字和红新月运动的基本原则和日内瓦公约及其附加议定书。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八、依照国际红十字和红新月运动的基本原则，完成人民政府委托事宜。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九、协助人民政府开展与其职责相关的其他人道主义服务活动。</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hint="eastAsia" w:ascii="Times New Roman" w:hAnsi="Times New Roman" w:eastAsia="仿宋_GB2312" w:cs="Times New Roman"/>
                <w:b/>
                <w:lang w:eastAsia="zh-CN"/>
              </w:rPr>
            </w:pPr>
            <w:r>
              <w:rPr>
                <w:rFonts w:hint="eastAsia" w:ascii="仿宋_GB2312" w:hAnsi="仿宋" w:eastAsia="仿宋_GB2312"/>
                <w:szCs w:val="24"/>
              </w:rPr>
              <w:t>香河县红十字会</w:t>
            </w:r>
          </w:p>
        </w:tc>
        <w:tc>
          <w:tcPr>
            <w:tcW w:w="1134" w:type="dxa"/>
            <w:shd w:val="clear" w:color="auto" w:fill="auto"/>
            <w:vAlign w:val="center"/>
          </w:tcPr>
          <w:p>
            <w:pPr>
              <w:spacing w:line="300" w:lineRule="exact"/>
              <w:jc w:val="center"/>
              <w:rPr>
                <w:rFonts w:hint="eastAsia" w:ascii="Times New Roman" w:hAnsi="Times New Roman" w:eastAsia="仿宋_GB2312" w:cs="Times New Roman"/>
                <w:b/>
                <w:lang w:eastAsia="zh-CN"/>
              </w:rPr>
            </w:pPr>
            <w:r>
              <w:rPr>
                <w:rFonts w:hint="eastAsia" w:ascii="仿宋_GB2312" w:hAnsi="仿宋" w:eastAsia="仿宋_GB2312"/>
                <w:szCs w:val="24"/>
              </w:rPr>
              <w:t>事业</w:t>
            </w:r>
          </w:p>
        </w:tc>
        <w:tc>
          <w:tcPr>
            <w:tcW w:w="1276" w:type="dxa"/>
            <w:shd w:val="clear" w:color="auto" w:fill="auto"/>
            <w:vAlign w:val="center"/>
          </w:tcPr>
          <w:p>
            <w:pPr>
              <w:spacing w:line="300" w:lineRule="exact"/>
              <w:jc w:val="center"/>
              <w:rPr>
                <w:rFonts w:hint="eastAsia" w:ascii="Times New Roman" w:hAnsi="Times New Roman" w:eastAsia="仿宋_GB2312" w:cs="Times New Roman"/>
                <w:b/>
                <w:lang w:eastAsia="zh-CN"/>
              </w:rPr>
            </w:pPr>
            <w:r>
              <w:rPr>
                <w:rFonts w:hint="eastAsia" w:ascii="仿宋_GB2312" w:hAnsi="仿宋" w:eastAsia="仿宋_GB2312"/>
                <w:szCs w:val="24"/>
              </w:rPr>
              <w:t>副科级</w:t>
            </w:r>
          </w:p>
        </w:tc>
        <w:tc>
          <w:tcPr>
            <w:tcW w:w="2902" w:type="dxa"/>
            <w:shd w:val="clear" w:color="auto" w:fill="auto"/>
            <w:vAlign w:val="center"/>
          </w:tcPr>
          <w:p>
            <w:pPr>
              <w:spacing w:line="300" w:lineRule="exact"/>
              <w:jc w:val="center"/>
              <w:rPr>
                <w:rFonts w:hint="eastAsia" w:ascii="Times New Roman" w:hAnsi="Times New Roman" w:eastAsia="仿宋_GB2312" w:cs="Times New Roman"/>
                <w:b/>
                <w:lang w:eastAsia="zh-CN"/>
              </w:rPr>
            </w:pPr>
            <w:r>
              <w:rPr>
                <w:rFonts w:hint="eastAsia" w:ascii="仿宋_GB2312" w:hAnsi="仿宋" w:eastAsia="仿宋_GB2312"/>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当年全部收入。2022年预算收入</w:t>
      </w:r>
      <w:r>
        <w:rPr>
          <w:rFonts w:hint="eastAsia" w:ascii="Times New Roman" w:hAnsi="Times New Roman" w:eastAsia="仿宋_GB2312" w:cs="Times New Roman"/>
          <w:sz w:val="32"/>
          <w:szCs w:val="32"/>
          <w:lang w:val="en-US" w:eastAsia="zh-CN"/>
        </w:rPr>
        <w:t>92.78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92.78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numPr>
          <w:ilvl w:val="0"/>
          <w:numId w:val="2"/>
        </w:num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红十字会</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92.78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64.78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54.68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lang w:eastAsia="zh-CN"/>
        </w:rPr>
        <w:t>日常公用</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lang w:val="en-US" w:eastAsia="zh-CN"/>
        </w:rPr>
        <w:t>10.09</w:t>
      </w:r>
      <w:r>
        <w:rPr>
          <w:rFonts w:ascii="Times New Roman" w:hAnsi="Times New Roman" w:eastAsia="仿宋_GB2312" w:cs="Times New Roman"/>
          <w:sz w:val="32"/>
          <w:szCs w:val="32"/>
        </w:rPr>
        <w:t>万元；</w:t>
      </w:r>
      <w:r>
        <w:rPr>
          <w:rFonts w:ascii="Times New Roman" w:hAnsi="Times New Roman" w:eastAsia="仿宋_GB2312"/>
          <w:sz w:val="32"/>
          <w:szCs w:val="32"/>
        </w:rPr>
        <w:t>项目支出</w:t>
      </w:r>
      <w:r>
        <w:rPr>
          <w:rFonts w:hint="eastAsia" w:ascii="Times New Roman" w:hAnsi="Times New Roman" w:eastAsia="仿宋_GB2312"/>
          <w:sz w:val="32"/>
          <w:szCs w:val="32"/>
          <w:lang w:val="en-US" w:eastAsia="zh-CN"/>
        </w:rPr>
        <w:t>28</w:t>
      </w:r>
      <w:r>
        <w:rPr>
          <w:rFonts w:ascii="Times New Roman" w:hAnsi="Times New Roman" w:eastAsia="仿宋_GB2312"/>
          <w:sz w:val="32"/>
          <w:szCs w:val="32"/>
        </w:rPr>
        <w:t>万元，</w:t>
      </w:r>
      <w:r>
        <w:rPr>
          <w:rFonts w:hint="eastAsia" w:ascii="Times New Roman" w:hAnsi="Times New Roman" w:eastAsia="仿宋_GB2312"/>
          <w:sz w:val="32"/>
          <w:szCs w:val="32"/>
        </w:rPr>
        <w:t>全部为本级支出</w:t>
      </w:r>
      <w:r>
        <w:rPr>
          <w:rFonts w:hint="eastAsia" w:ascii="Times New Roman" w:hAnsi="Times New Roman" w:eastAsia="仿宋_GB2312"/>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日常业务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“三救三献”支出等。</w:t>
      </w:r>
    </w:p>
    <w:p>
      <w:pPr>
        <w:numPr>
          <w:ilvl w:val="0"/>
          <w:numId w:val="2"/>
        </w:numPr>
        <w:spacing w:line="584" w:lineRule="exact"/>
        <w:ind w:left="0" w:leftChars="0" w:firstLine="640"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比上年增减情况</w:t>
      </w:r>
    </w:p>
    <w:p>
      <w:pPr>
        <w:spacing w:line="584" w:lineRule="exact"/>
        <w:ind w:firstLine="640"/>
        <w:rPr>
          <w:rFonts w:hint="eastAsia" w:ascii="Times New Roman" w:hAnsi="Times New Roman" w:eastAsia="仿宋_GB2312" w:cs="Times New Roman"/>
          <w:b/>
          <w:sz w:val="32"/>
          <w:szCs w:val="32"/>
          <w:lang w:eastAsia="zh-CN"/>
        </w:rPr>
      </w:pPr>
      <w:r>
        <w:rPr>
          <w:rFonts w:ascii="Times New Roman" w:hAnsi="Times New Roman" w:eastAsia="仿宋_GB2312" w:cs="Times New Roman"/>
          <w:sz w:val="32"/>
          <w:szCs w:val="32"/>
        </w:rPr>
        <w:t>2022年预算收支安</w:t>
      </w:r>
      <w:r>
        <w:rPr>
          <w:rFonts w:hint="eastAsia" w:ascii="Times New Roman" w:hAnsi="Times New Roman" w:eastAsia="仿宋_GB2312" w:cs="Times New Roman"/>
          <w:sz w:val="32"/>
          <w:szCs w:val="32"/>
          <w:lang w:eastAsia="zh-CN"/>
        </w:rPr>
        <w:t>排</w:t>
      </w:r>
      <w:r>
        <w:rPr>
          <w:rFonts w:hint="eastAsia" w:ascii="Times New Roman" w:hAnsi="Times New Roman" w:eastAsia="仿宋_GB2312" w:cs="Times New Roman"/>
          <w:sz w:val="32"/>
          <w:szCs w:val="32"/>
          <w:lang w:val="en-US" w:eastAsia="zh-CN"/>
        </w:rPr>
        <w:t>92.78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highlight w:val="none"/>
          <w:lang w:val="en-US" w:eastAsia="zh-CN"/>
        </w:rPr>
        <w:t>36.48</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rPr>
        <w:t>基本支出减少8.48万元，项目支出减少28万元</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10.09</w:t>
      </w:r>
      <w:r>
        <w:rPr>
          <w:rFonts w:ascii="Times New Roman" w:hAnsi="Times New Roman" w:eastAsia="仿宋_GB2312" w:cs="Times New Roman"/>
          <w:sz w:val="32"/>
          <w:szCs w:val="32"/>
        </w:rPr>
        <w:t>万元，</w:t>
      </w:r>
      <w:r>
        <w:rPr>
          <w:rFonts w:ascii="Times New Roman" w:hAnsi="Times New Roman" w:eastAsia="仿宋_GB2312"/>
          <w:sz w:val="32"/>
          <w:szCs w:val="32"/>
        </w:rPr>
        <w:t>主要用于</w:t>
      </w:r>
      <w:r>
        <w:rPr>
          <w:rFonts w:hint="eastAsia" w:ascii="Times New Roman" w:hAnsi="Times New Roman" w:eastAsia="仿宋_GB2312"/>
          <w:sz w:val="32"/>
          <w:szCs w:val="32"/>
        </w:rPr>
        <w:t>办公及印刷费、邮电费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sz w:val="32"/>
          <w:szCs w:val="32"/>
        </w:rPr>
        <w:t>财政拨款“三公”经费预算安排</w:t>
      </w:r>
      <w:r>
        <w:rPr>
          <w:rFonts w:hint="eastAsia" w:ascii="Times New Roman" w:hAnsi="Times New Roman" w:eastAsia="仿宋_GB2312"/>
          <w:sz w:val="32"/>
          <w:szCs w:val="32"/>
          <w:lang w:val="en-US" w:eastAsia="zh-CN"/>
        </w:rPr>
        <w:t>1.9</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w:t>
      </w:r>
      <w:r>
        <w:rPr>
          <w:rFonts w:hint="eastAsia" w:ascii="Times New Roman" w:hAnsi="Times New Roman" w:eastAsia="仿宋_GB2312"/>
          <w:sz w:val="32"/>
          <w:szCs w:val="32"/>
        </w:rPr>
        <w:t>，</w:t>
      </w:r>
      <w:r>
        <w:rPr>
          <w:rFonts w:ascii="Times New Roman" w:hAnsi="Times New Roman" w:eastAsia="仿宋_GB2312"/>
          <w:sz w:val="32"/>
          <w:szCs w:val="32"/>
        </w:rPr>
        <w:t>因公出国（境）费</w:t>
      </w:r>
      <w:r>
        <w:rPr>
          <w:rFonts w:hint="eastAsia" w:ascii="Times New Roman" w:hAnsi="Times New Roman" w:eastAsia="仿宋_GB2312"/>
          <w:sz w:val="32"/>
          <w:szCs w:val="32"/>
        </w:rPr>
        <w:t>0</w:t>
      </w:r>
      <w:r>
        <w:rPr>
          <w:rFonts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1.9</w:t>
      </w:r>
      <w:r>
        <w:rPr>
          <w:rFonts w:ascii="Times New Roman" w:hAnsi="Times New Roman" w:eastAsia="仿宋_GB2312"/>
          <w:sz w:val="32"/>
          <w:szCs w:val="32"/>
        </w:rPr>
        <w:t>万元（其中：公务用车购置费为</w:t>
      </w:r>
      <w:r>
        <w:rPr>
          <w:rFonts w:hint="eastAsia" w:ascii="Times New Roman" w:hAnsi="Times New Roman" w:eastAsia="仿宋_GB2312"/>
          <w:sz w:val="32"/>
          <w:szCs w:val="32"/>
        </w:rPr>
        <w:t>0</w:t>
      </w:r>
      <w:r>
        <w:rPr>
          <w:rFonts w:ascii="Times New Roman" w:hAnsi="Times New Roman" w:eastAsia="仿宋_GB2312"/>
          <w:sz w:val="32"/>
          <w:szCs w:val="32"/>
        </w:rPr>
        <w:t>万元，公务用车运维费</w:t>
      </w:r>
      <w:r>
        <w:rPr>
          <w:rFonts w:hint="eastAsia" w:ascii="Times New Roman" w:hAnsi="Times New Roman" w:eastAsia="仿宋_GB2312"/>
          <w:sz w:val="32"/>
          <w:szCs w:val="32"/>
          <w:lang w:val="en-US" w:eastAsia="zh-CN"/>
        </w:rPr>
        <w:t>1.9</w:t>
      </w:r>
      <w:r>
        <w:rPr>
          <w:rFonts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ascii="Times New Roman" w:hAnsi="Times New Roman" w:eastAsia="仿宋_GB2312"/>
          <w:sz w:val="32"/>
          <w:szCs w:val="32"/>
        </w:rPr>
        <w:t>公务接待费</w:t>
      </w:r>
      <w:r>
        <w:rPr>
          <w:rFonts w:hint="eastAsia" w:ascii="Times New Roman" w:hAnsi="Times New Roman" w:eastAsia="仿宋_GB2312"/>
          <w:sz w:val="32"/>
          <w:szCs w:val="32"/>
        </w:rPr>
        <w:t>0</w:t>
      </w:r>
      <w:r>
        <w:rPr>
          <w:rFonts w:ascii="Times New Roman" w:hAnsi="Times New Roman" w:eastAsia="仿宋_GB2312"/>
          <w:sz w:val="32"/>
          <w:szCs w:val="32"/>
        </w:rPr>
        <w:t>万元。与20</w:t>
      </w:r>
      <w:r>
        <w:rPr>
          <w:rFonts w:hint="eastAsia" w:ascii="Times New Roman" w:hAnsi="Times New Roman" w:eastAsia="仿宋_GB2312"/>
          <w:sz w:val="32"/>
          <w:szCs w:val="32"/>
          <w:lang w:val="en-US" w:eastAsia="zh-CN"/>
        </w:rPr>
        <w:t>21</w:t>
      </w:r>
      <w:r>
        <w:rPr>
          <w:rFonts w:ascii="Times New Roman" w:hAnsi="Times New Roman" w:eastAsia="仿宋_GB2312"/>
          <w:sz w:val="32"/>
          <w:szCs w:val="32"/>
        </w:rPr>
        <w:t>年</w:t>
      </w:r>
      <w:r>
        <w:rPr>
          <w:rFonts w:hint="eastAsia" w:ascii="Times New Roman" w:hAnsi="Times New Roman" w:eastAsia="仿宋_GB2312"/>
          <w:sz w:val="32"/>
          <w:szCs w:val="32"/>
        </w:rPr>
        <w:t>相比</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0.5万元</w:t>
      </w:r>
      <w:r>
        <w:rPr>
          <w:rFonts w:ascii="Times New Roman" w:hAnsi="Times New Roman" w:eastAsia="仿宋_GB2312"/>
          <w:sz w:val="32"/>
          <w:szCs w:val="32"/>
        </w:rPr>
        <w:t>。</w:t>
      </w:r>
      <w:r>
        <w:rPr>
          <w:rFonts w:hint="eastAsia" w:ascii="Times New Roman" w:hAnsi="Times New Roman" w:eastAsia="仿宋_GB2312"/>
          <w:sz w:val="32"/>
          <w:szCs w:val="32"/>
        </w:rPr>
        <w:t>其中，</w:t>
      </w:r>
      <w:r>
        <w:rPr>
          <w:rFonts w:ascii="Times New Roman" w:hAnsi="Times New Roman" w:eastAsia="仿宋_GB2312"/>
          <w:sz w:val="32"/>
          <w:szCs w:val="32"/>
        </w:rPr>
        <w:t>因公出国（境）费持平，无增减变化</w:t>
      </w:r>
      <w:r>
        <w:rPr>
          <w:rFonts w:hint="eastAsia" w:ascii="Times New Roman" w:hAnsi="Times New Roman" w:eastAsia="仿宋_GB2312"/>
          <w:sz w:val="32"/>
          <w:szCs w:val="32"/>
        </w:rPr>
        <w:t>；</w:t>
      </w:r>
      <w:r>
        <w:rPr>
          <w:rFonts w:ascii="Times New Roman" w:hAnsi="Times New Roman" w:eastAsia="仿宋_GB2312"/>
          <w:sz w:val="32"/>
          <w:szCs w:val="32"/>
        </w:rPr>
        <w:t>公务用车购置及运维费</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0.5万元</w:t>
      </w:r>
      <w:r>
        <w:rPr>
          <w:rFonts w:ascii="Times New Roman" w:hAnsi="Times New Roman" w:eastAsia="仿宋_GB2312"/>
          <w:sz w:val="32"/>
          <w:szCs w:val="32"/>
        </w:rPr>
        <w:t>。（其中：公务用车购置费持平，无增减变化。公务用车运维费</w:t>
      </w:r>
      <w:r>
        <w:rPr>
          <w:rFonts w:hint="eastAsia" w:ascii="Times New Roman" w:hAnsi="Times New Roman" w:eastAsia="仿宋_GB2312"/>
          <w:sz w:val="32"/>
          <w:szCs w:val="32"/>
          <w:lang w:val="en-US" w:eastAsia="zh-CN"/>
        </w:rPr>
        <w:t>1.9万元；财政通报车辆保险减少0.5万元</w:t>
      </w:r>
      <w:r>
        <w:rPr>
          <w:rFonts w:ascii="Times New Roman" w:hAnsi="Times New Roman" w:eastAsia="仿宋_GB2312"/>
          <w:sz w:val="32"/>
          <w:szCs w:val="32"/>
        </w:rPr>
        <w:t>。公务接待费持平</w:t>
      </w:r>
      <w:r>
        <w:rPr>
          <w:rFonts w:hint="eastAsia" w:ascii="Times New Roman" w:hAnsi="Times New Roman" w:eastAsia="仿宋_GB2312"/>
          <w:sz w:val="32"/>
          <w:szCs w:val="32"/>
        </w:rPr>
        <w:t>，</w:t>
      </w:r>
      <w:r>
        <w:rPr>
          <w:rFonts w:ascii="Times New Roman" w:hAnsi="Times New Roman" w:eastAsia="仿宋_GB2312"/>
          <w:sz w:val="32"/>
          <w:szCs w:val="32"/>
        </w:rPr>
        <w:t>无增减变化。</w:t>
      </w:r>
    </w:p>
    <w:p>
      <w:pPr>
        <w:numPr>
          <w:ilvl w:val="0"/>
          <w:numId w:val="3"/>
        </w:numPr>
        <w:spacing w:line="584" w:lineRule="exact"/>
        <w:ind w:left="-10" w:leftChars="0" w:firstLine="640" w:firstLineChars="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bookmarkStart w:id="0" w:name="_Toc_2_2_0000000001"/>
      <w:r>
        <w:rPr>
          <w:rFonts w:ascii="Times New Roman" w:hAnsi="Times New Roman" w:eastAsia="仿宋_GB2312"/>
          <w:sz w:val="32"/>
          <w:szCs w:val="32"/>
        </w:rPr>
        <w:t>一、总体绩效目标</w:t>
      </w:r>
      <w:bookmarkEnd w:id="0"/>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围绕新时代、新任务，促进社会保障体系建设，全面贯彻《国务院关于促进红十字事业发展的意见》和中国红十字会理事会会议精神，对照新修订实施的《中华人民共和国红十字会法》</w:t>
      </w:r>
      <w:r>
        <w:rPr>
          <w:rFonts w:hint="eastAsia" w:ascii="Times New Roman" w:hAnsi="Times New Roman" w:eastAsia="仿宋_GB2312"/>
          <w:sz w:val="32"/>
          <w:szCs w:val="32"/>
          <w:lang w:eastAsia="zh-CN"/>
        </w:rPr>
        <w:t>赋予</w:t>
      </w:r>
      <w:r>
        <w:rPr>
          <w:rFonts w:ascii="Times New Roman" w:hAnsi="Times New Roman" w:eastAsia="仿宋_GB2312"/>
          <w:sz w:val="32"/>
          <w:szCs w:val="32"/>
        </w:rPr>
        <w:t>的法定职责，以改革创新为动力，以便民服务为主线，以项目运作为依托，以公开透明为保证，扎实推进各项工作，全面加强自身建设，奋力开创我县红十字事业发展新局面。</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进一步加强新时期红十字工作，充分发挥红十字会在经济社会发展中的重要作用，促进我县红十字事业持续健康发展∶一是全力做好备灾救灾工作;二是提高常态下民生救助项目的运作水平，抓好便民救助工作，规范程序，拓宽思路，实现人道惠民;三是探索建立应急救护培训长效机制，普及应急救护知识和技能;四是推进"三献"工作健康发展;规范有序推动遗体和人体器官捐献事业，弘扬大爱善举正能量，促进社会文明进步;五是建立完善可持续的筹资机制;六是抓好文化传播和宣传工作，深化红十字志愿服务和青少年工作，传播红十字文化，扩大红十字工作的社会影响力;七是加强红十字组织能力建设。</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紧紧围绕县委、县政府工作大局开展工作，围绕"三救"、"三献"和人道法传播核心业务，抓住重点，将有限的财力用到关乎全县红十字事业持续、协调、健康发展的关键环节，强化责任担当、认真履职尽责，提高项目运作能力，进一步解放思想，转变观念，创新机制，促进全县红十字会工作再上一个新的台阶。</w:t>
      </w:r>
    </w:p>
    <w:p>
      <w:pPr>
        <w:pStyle w:val="14"/>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（一）社会救助</w:t>
      </w:r>
    </w:p>
    <w:p>
      <w:pPr>
        <w:pStyle w:val="14"/>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1、努力加大应急救护知识普及力度，普及应急救护知识和技能，以"世界红十字日"为契机，传播红十字救护理念，营造人人参与应急救护的社会氛围。充分发挥红十字会应急救护培训主体作用，广泛宣讲急救知识，组织大型义诊和免费体检，提高公众生命健康安全意识和自救互救能力。积极举办师资培训班，进一步充实完善师资库。</w:t>
      </w:r>
    </w:p>
    <w:p>
      <w:pPr>
        <w:pStyle w:val="14"/>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2、提高社会救助力度。拓宽人道救助领域，抓好便民救助工作，规范程序，拓宽思路，实现人道惠民，积极争取国家更多的救助资金救助我县白血病、先天性心脏病患儿;做大做好"天使计划"系列项目，围绕困难群众所需，开展新的大病救助项目。采取"博爱一日捐"等多种有效方式，广泛动员社会资源，积极谋划开展助学、助困、"红十字博爱送万家"等服务民生和人道救助项目，为精准扶贫、全面建成小康社会作出贡献。</w:t>
      </w:r>
    </w:p>
    <w:p>
      <w:pPr>
        <w:pStyle w:val="14"/>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（二）红十字事业发展</w:t>
      </w:r>
    </w:p>
    <w:p>
      <w:pPr>
        <w:pStyle w:val="14"/>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1、"三献"工作。在推动无偿献血宣传方面，进一步发挥无偿献血志愿服务队伍作用，完善无偿献血和捐献造血干细胞协同共进、血站（采血点）与工作站联运共推的工作机制。在造血干细胞捐献方面，积极开展造血干细胞知识讲座和宣传活动，让更多的人充分的了解造血干细胞捐献流程，带动更多的人加入到造血干细胞捐献志愿者的队伍中来;在人体器官和遗体捐献方面，依法依规、稳步推进，规范有序推动遗体和人体器官捐献事业，弘扬大爱善举正能量，促进社会文明进步。</w:t>
      </w:r>
    </w:p>
    <w:p>
      <w:pPr>
        <w:pStyle w:val="14"/>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2、国际人道援助和志愿者工作。积极开展国际人道援助和港澳台、国际交流合作，更好地服务于"一带一路"和我县对外合作交流总体战略。深化红十字志愿服务和青少年工作，传播红十字文化，扩大红十字工作的社会影响力。开展丰富多彩、形式多样的红十字志愿服务活动，加强红十志愿者组织的管理工作，使更多青少年了解和投身于人道事业。</w:t>
      </w:r>
    </w:p>
    <w:p>
      <w:pPr>
        <w:pStyle w:val="14"/>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3、红十字会综合事务工作。加大宣传工作力度，做好"5.8"世界红十字日、"世界急救日"等重要节点的宣传，开展救护演练、义诊咨询、人道救助、现场募捐、志愿服务等系列活动。借助主流媒体渠道，加强与报刊、广播、电视、互联网等主要媒体的联系与合作，及时推送重要信息。规范红十字标志的使用，提升红十</w:t>
      </w:r>
      <w:r>
        <w:rPr>
          <w:rFonts w:hint="eastAsia" w:ascii="Times New Roman" w:hAnsi="Times New Roman" w:eastAsia="仿宋_GB2312" w:cs="Arial"/>
          <w:kern w:val="2"/>
          <w:sz w:val="32"/>
          <w:szCs w:val="32"/>
          <w:lang w:val="en-US" w:eastAsia="zh-CN" w:bidi="ar-SA"/>
        </w:rPr>
        <w:t>字</w:t>
      </w:r>
      <w:r>
        <w:rPr>
          <w:rFonts w:ascii="Times New Roman" w:hAnsi="Times New Roman" w:eastAsia="仿宋_GB2312" w:cs="Arial"/>
          <w:kern w:val="2"/>
          <w:sz w:val="32"/>
          <w:szCs w:val="32"/>
          <w:lang w:val="en-US" w:eastAsia="zh-CN" w:bidi="ar-SA"/>
        </w:rPr>
        <w:t>会形象。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围绕新时代、新任务，促进社会保障体系建设，全面贯彻《国务院关于促进红十字事业发展的意见》及《中华人民共和国红十字会法》赋于的法定职责，牢固树立和落实创新、协调、绿色、开放、共享的发展理念，扭住核心业务不放松，提振精神，激情工作。以重</w:t>
      </w:r>
    </w:p>
    <w:p>
      <w:pPr>
        <w:pStyle w:val="15"/>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点项目带动工作整体提升，为实现经济强县、美丽香河贡献力量。</w:t>
      </w:r>
    </w:p>
    <w:p>
      <w:pPr>
        <w:pStyle w:val="15"/>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一）着力实施精准救助，提升人道服务能力。县红十字会紧密结合实际，进一步研究细化便民救助具体措施，形成自己的救助特色，使便民救助更好更广泛地惠及广大城乡特困群众。一是加强救助资金的募集。继续组织开展好"博爱一日捐"活动，大力发动志愿者捐款，形成稳定可持续的筹资机制。倡导各类企业把参与慈善活动作为履行社会责任的重要方面，大额捐款资助的项目可由企业冠名。二是实施重点品牌项目。持之以恒开展好"小天使"天使阳光"助飞天使"等人道救助项目，努力将这些品牌项目打造得更加闪亮。</w:t>
      </w:r>
    </w:p>
    <w:p>
      <w:pPr>
        <w:pStyle w:val="15"/>
        <w:rPr>
          <w:rFonts w:ascii="Times New Roman" w:hAnsi="Times New Roman" w:eastAsia="仿宋_GB2312" w:cs="Arial"/>
          <w:kern w:val="2"/>
          <w:sz w:val="32"/>
          <w:szCs w:val="32"/>
          <w:lang w:val="en-US" w:eastAsia="zh-CN" w:bidi="ar-SA"/>
        </w:rPr>
      </w:pPr>
      <w:r>
        <w:rPr>
          <w:rFonts w:ascii="Times New Roman" w:hAnsi="Times New Roman" w:eastAsia="仿宋_GB2312" w:cs="Arial"/>
          <w:kern w:val="2"/>
          <w:sz w:val="32"/>
          <w:szCs w:val="32"/>
          <w:lang w:val="en-US" w:eastAsia="zh-CN" w:bidi="ar-SA"/>
        </w:rPr>
        <w:t>（二）着力实施关爱生命工程，做好爱的传递使者。加强对红十字无偿献血志愿服务队的指导，深入推进无偿献血和捐献造血干细胞协同共进、血站（采血点）与工作站联运共推的工作机制;稳步推进人体器官捐献例数，挽救更多的患者。完善遗体捐献联盟运转机制，建立相关规章制度，把遗体和组织捐献工作扎实有效、规范有序地开展起来。</w:t>
      </w:r>
    </w:p>
    <w:p>
      <w:pPr>
        <w:pStyle w:val="15"/>
      </w:pPr>
      <w:r>
        <w:rPr>
          <w:rFonts w:ascii="Times New Roman" w:hAnsi="Times New Roman" w:eastAsia="仿宋_GB2312" w:cs="Arial"/>
          <w:kern w:val="2"/>
          <w:sz w:val="32"/>
          <w:szCs w:val="32"/>
          <w:lang w:val="en-US" w:eastAsia="zh-CN" w:bidi="ar-SA"/>
        </w:rPr>
        <w:t>（三）着力创新工作方式方法，凝聚各方发展合力。通过红十字平台，广泛动员人道力量，募集更多社会资源助力保基本、兜底线，在党和政府想做而难以完全覆盖的领域向需要帮助的人群伸出援手，在精准扶贫中为党和政府排忧解难。发挥红十字基层组织扎根社区、拥有广大会员和志愿者网络的优势，及时发现民生需求，及时提供人道救助，有效发挥拾遗补缺的助手作用。按照部署，积极与港澳台、"一带一路"周边国家的红十字组织进行沟通交流，不断增进相互了解、友谊与合作。</w:t>
      </w:r>
    </w:p>
    <w:p>
      <w:pPr>
        <w:numPr>
          <w:ilvl w:val="0"/>
          <w:numId w:val="4"/>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8"/>
        <w:tblW w:w="12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90"/>
        <w:gridCol w:w="937"/>
        <w:gridCol w:w="2091"/>
        <w:gridCol w:w="2089"/>
        <w:gridCol w:w="1820"/>
        <w:gridCol w:w="700"/>
        <w:gridCol w:w="563"/>
        <w:gridCol w:w="95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08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13"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36" w:hRule="atLeast"/>
          <w:tblHeader/>
          <w:jc w:val="center"/>
        </w:trPr>
        <w:tc>
          <w:tcPr>
            <w:tcW w:w="1190" w:type="dxa"/>
            <w:vMerge w:val="continue"/>
            <w:tcBorders>
              <w:tl2br w:val="nil"/>
              <w:tr2bl w:val="nil"/>
            </w:tcBorders>
            <w:vAlign w:val="center"/>
          </w:tcPr>
          <w:p/>
        </w:tc>
        <w:tc>
          <w:tcPr>
            <w:tcW w:w="937" w:type="dxa"/>
            <w:vMerge w:val="continue"/>
            <w:tcBorders>
              <w:tl2br w:val="nil"/>
              <w:tr2bl w:val="nil"/>
            </w:tcBorders>
            <w:vAlign w:val="center"/>
          </w:tcPr>
          <w:p/>
        </w:tc>
        <w:tc>
          <w:tcPr>
            <w:tcW w:w="2091" w:type="dxa"/>
            <w:vMerge w:val="continue"/>
            <w:tcBorders>
              <w:tl2br w:val="nil"/>
              <w:tr2bl w:val="nil"/>
            </w:tcBorders>
            <w:vAlign w:val="center"/>
          </w:tcPr>
          <w:p/>
        </w:tc>
        <w:tc>
          <w:tcPr>
            <w:tcW w:w="2089" w:type="dxa"/>
            <w:vMerge w:val="continue"/>
            <w:tcBorders>
              <w:tl2br w:val="nil"/>
              <w:tr2bl w:val="nil"/>
            </w:tcBorders>
            <w:vAlign w:val="center"/>
          </w:tcPr>
          <w:p/>
        </w:tc>
        <w:tc>
          <w:tcPr>
            <w:tcW w:w="1820" w:type="dxa"/>
            <w:vMerge w:val="continue"/>
            <w:tcBorders>
              <w:tl2br w:val="nil"/>
              <w:tr2bl w:val="nil"/>
            </w:tcBorders>
            <w:vAlign w:val="center"/>
          </w:tcPr>
          <w:p/>
        </w:tc>
        <w:tc>
          <w:tcPr>
            <w:tcW w:w="70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5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2" w:hRule="atLeast"/>
          <w:jc w:val="center"/>
        </w:trPr>
        <w:tc>
          <w:tcPr>
            <w:tcW w:w="119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91"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组织培训活动班次</w:t>
            </w:r>
          </w:p>
        </w:tc>
        <w:tc>
          <w:tcPr>
            <w:tcW w:w="2089"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&gt;=3次，优；&lt;3次，良；0次，差。</w:t>
            </w:r>
          </w:p>
        </w:tc>
        <w:tc>
          <w:tcPr>
            <w:tcW w:w="1820" w:type="dxa"/>
            <w:tcBorders>
              <w:tl2br w:val="nil"/>
              <w:tr2bl w:val="nil"/>
            </w:tcBorders>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组织培训活动班次</w:t>
            </w:r>
          </w:p>
        </w:tc>
        <w:tc>
          <w:tcPr>
            <w:tcW w:w="700" w:type="dxa"/>
            <w:tcBorders>
              <w:tl2br w:val="nil"/>
              <w:tr2bl w:val="nil"/>
            </w:tcBorders>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w:t>
            </w:r>
          </w:p>
        </w:tc>
        <w:tc>
          <w:tcPr>
            <w:tcW w:w="563" w:type="dxa"/>
            <w:tcBorders>
              <w:tl2br w:val="nil"/>
              <w:tr2bl w:val="nil"/>
            </w:tcBorders>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w:t>
            </w:r>
          </w:p>
        </w:tc>
        <w:tc>
          <w:tcPr>
            <w:tcW w:w="950" w:type="dxa"/>
            <w:tcBorders>
              <w:tl2br w:val="nil"/>
              <w:tr2bl w:val="nil"/>
            </w:tcBorders>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次</w:t>
            </w:r>
          </w:p>
        </w:tc>
        <w:tc>
          <w:tcPr>
            <w:tcW w:w="1850"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依据历年工作实际情况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91"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全县覆盖率</w:t>
            </w:r>
          </w:p>
        </w:tc>
        <w:tc>
          <w:tcPr>
            <w:tcW w:w="2089"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&gt;=95%,优；&gt;85%,良；&lt;70%,差。</w:t>
            </w:r>
          </w:p>
        </w:tc>
        <w:tc>
          <w:tcPr>
            <w:tcW w:w="1820"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全县覆盖率</w:t>
            </w:r>
          </w:p>
        </w:tc>
        <w:tc>
          <w:tcPr>
            <w:tcW w:w="700" w:type="dxa"/>
            <w:tcBorders>
              <w:tl2br w:val="nil"/>
              <w:tr2bl w:val="nil"/>
            </w:tcBorders>
            <w:vAlign w:val="center"/>
          </w:tcPr>
          <w:p>
            <w:pPr>
              <w:spacing w:line="300" w:lineRule="exac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p>
        </w:tc>
        <w:tc>
          <w:tcPr>
            <w:tcW w:w="563" w:type="dxa"/>
            <w:tcBorders>
              <w:tl2br w:val="nil"/>
              <w:tr2bl w:val="nil"/>
            </w:tcBorders>
            <w:vAlign w:val="top"/>
          </w:tcPr>
          <w:p>
            <w:pPr>
              <w:spacing w:line="30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95</w:t>
            </w:r>
          </w:p>
        </w:tc>
        <w:tc>
          <w:tcPr>
            <w:tcW w:w="950" w:type="dxa"/>
            <w:tcBorders>
              <w:tl2br w:val="nil"/>
              <w:tr2bl w:val="nil"/>
            </w:tcBorders>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p>
        </w:tc>
        <w:tc>
          <w:tcPr>
            <w:tcW w:w="1850" w:type="dxa"/>
            <w:tcBorders>
              <w:tl2br w:val="nil"/>
              <w:tr2bl w:val="nil"/>
            </w:tcBorders>
            <w:vAlign w:val="top"/>
          </w:tcPr>
          <w:p>
            <w:pPr>
              <w:spacing w:line="300" w:lineRule="exact"/>
              <w:rPr>
                <w:rFonts w:ascii="Times New Roman" w:hAnsi="Times New Roman" w:eastAsia="仿宋_GB2312" w:cs="Times New Roman"/>
              </w:rPr>
            </w:pPr>
            <w:r>
              <w:rPr>
                <w:rFonts w:hint="default" w:ascii="Times New Roman" w:hAnsi="Times New Roman" w:eastAsia="仿宋_GB2312" w:cs="Times New Roman"/>
                <w:lang w:val="en-US" w:eastAsia="zh-CN"/>
              </w:rPr>
              <w:t>依据历年工作实际情况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时效</w:t>
            </w:r>
          </w:p>
        </w:tc>
        <w:tc>
          <w:tcPr>
            <w:tcW w:w="2091"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采购申请情况</w:t>
            </w:r>
          </w:p>
        </w:tc>
        <w:tc>
          <w:tcPr>
            <w:tcW w:w="2089"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≤12月，优；&gt;12月，差。</w:t>
            </w:r>
          </w:p>
        </w:tc>
        <w:tc>
          <w:tcPr>
            <w:tcW w:w="1820"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采购日常办公物资成本</w:t>
            </w:r>
          </w:p>
        </w:tc>
        <w:tc>
          <w:tcPr>
            <w:tcW w:w="700" w:type="dxa"/>
            <w:tcBorders>
              <w:tl2br w:val="nil"/>
              <w:tr2bl w:val="nil"/>
            </w:tcBorders>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lang w:val="en-US" w:eastAsia="zh-CN"/>
              </w:rPr>
              <w:t>≤</w:t>
            </w:r>
          </w:p>
        </w:tc>
        <w:tc>
          <w:tcPr>
            <w:tcW w:w="563" w:type="dxa"/>
            <w:tcBorders>
              <w:tl2br w:val="nil"/>
              <w:tr2bl w:val="nil"/>
            </w:tcBorders>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3</w:t>
            </w:r>
          </w:p>
        </w:tc>
        <w:tc>
          <w:tcPr>
            <w:tcW w:w="950" w:type="dxa"/>
            <w:tcBorders>
              <w:tl2br w:val="nil"/>
              <w:tr2bl w:val="nil"/>
            </w:tcBorders>
            <w:vAlign w:val="top"/>
          </w:tcPr>
          <w:p>
            <w:pPr>
              <w:spacing w:line="300" w:lineRule="exact"/>
              <w:rPr>
                <w:rFonts w:hint="eastAsia" w:ascii="Times New Roman" w:hAnsi="Times New Roman" w:eastAsia="仿宋_GB2312" w:cs="Times New Roman"/>
                <w:lang w:eastAsia="zh-CN"/>
              </w:rPr>
            </w:pPr>
            <w:r>
              <w:rPr>
                <w:rFonts w:hint="default" w:ascii="Times New Roman" w:hAnsi="Times New Roman" w:eastAsia="仿宋_GB2312" w:cs="Times New Roman"/>
                <w:lang w:val="en-US" w:eastAsia="zh-CN"/>
              </w:rPr>
              <w:t>万</w:t>
            </w:r>
          </w:p>
        </w:tc>
        <w:tc>
          <w:tcPr>
            <w:tcW w:w="1850" w:type="dxa"/>
            <w:tcBorders>
              <w:tl2br w:val="nil"/>
              <w:tr2bl w:val="nil"/>
            </w:tcBorders>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使用人员反馈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0" w:type="dxa"/>
            <w:vMerge w:val="continue"/>
            <w:tcBorders>
              <w:tl2br w:val="nil"/>
              <w:tr2bl w:val="nil"/>
            </w:tcBorders>
            <w:vAlign w:val="center"/>
          </w:tcPr>
          <w:p>
            <w:r>
              <w:rPr>
                <w:rFonts w:hint="eastAsia"/>
              </w:rPr>
              <w:t>因活动产生的人员、材料等费用</w:t>
            </w: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91"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因活动产生的人员、材料、场地等费用</w:t>
            </w:r>
          </w:p>
        </w:tc>
        <w:tc>
          <w:tcPr>
            <w:tcW w:w="2089"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&lt;=4万，优；&lt;4万，良；0，差</w:t>
            </w:r>
          </w:p>
        </w:tc>
        <w:tc>
          <w:tcPr>
            <w:tcW w:w="1820"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因活动产生的人员、材料、场地等费用</w:t>
            </w:r>
          </w:p>
        </w:tc>
        <w:tc>
          <w:tcPr>
            <w:tcW w:w="700" w:type="dxa"/>
            <w:tcBorders>
              <w:tl2br w:val="nil"/>
              <w:tr2bl w:val="nil"/>
            </w:tcBorders>
            <w:vAlign w:val="center"/>
          </w:tcPr>
          <w:p>
            <w:pPr>
              <w:spacing w:line="300" w:lineRule="exac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p>
        </w:tc>
        <w:tc>
          <w:tcPr>
            <w:tcW w:w="563" w:type="dxa"/>
            <w:tcBorders>
              <w:tl2br w:val="nil"/>
              <w:tr2bl w:val="nil"/>
            </w:tcBorders>
            <w:vAlign w:val="top"/>
          </w:tcPr>
          <w:p>
            <w:pPr>
              <w:spacing w:line="300" w:lineRule="exact"/>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4</w:t>
            </w:r>
          </w:p>
        </w:tc>
        <w:tc>
          <w:tcPr>
            <w:tcW w:w="950" w:type="dxa"/>
            <w:tcBorders>
              <w:tl2br w:val="nil"/>
              <w:tr2bl w:val="nil"/>
            </w:tcBorders>
            <w:vAlign w:val="top"/>
          </w:tcPr>
          <w:p>
            <w:pPr>
              <w:spacing w:line="300" w:lineRule="exact"/>
              <w:rPr>
                <w:rFonts w:hint="eastAsia" w:ascii="Times New Roman" w:hAnsi="Times New Roman" w:eastAsia="仿宋_GB2312" w:cs="Times New Roman"/>
                <w:lang w:eastAsia="zh-CN"/>
              </w:rPr>
            </w:pPr>
            <w:r>
              <w:rPr>
                <w:rFonts w:hint="default" w:ascii="Times New Roman" w:hAnsi="Times New Roman" w:eastAsia="仿宋_GB2312" w:cs="Times New Roman"/>
                <w:lang w:val="en-US" w:eastAsia="zh-CN"/>
              </w:rPr>
              <w:t>万</w:t>
            </w:r>
          </w:p>
        </w:tc>
        <w:tc>
          <w:tcPr>
            <w:tcW w:w="1850" w:type="dxa"/>
            <w:tcBorders>
              <w:tl2br w:val="nil"/>
              <w:tr2bl w:val="nil"/>
            </w:tcBorders>
            <w:vAlign w:val="top"/>
          </w:tcPr>
          <w:p>
            <w:pPr>
              <w:spacing w:line="300" w:lineRule="exact"/>
              <w:rPr>
                <w:rFonts w:ascii="Times New Roman" w:hAnsi="Times New Roman" w:eastAsia="仿宋_GB2312" w:cs="Times New Roman"/>
                <w:lang w:val="en-US" w:eastAsia="zh-CN"/>
              </w:rPr>
            </w:pPr>
            <w:r>
              <w:rPr>
                <w:rFonts w:hint="default" w:ascii="Times New Roman" w:hAnsi="Times New Roman" w:eastAsia="仿宋_GB2312" w:cs="Times New Roman"/>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3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91"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活动影响力</w:t>
            </w:r>
          </w:p>
        </w:tc>
        <w:tc>
          <w:tcPr>
            <w:tcW w:w="2089"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&gt;=9家，优；&gt;6家，良；&lt;5家，差。</w:t>
            </w:r>
          </w:p>
        </w:tc>
        <w:tc>
          <w:tcPr>
            <w:tcW w:w="1820"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通过活动影响的企业范围</w:t>
            </w:r>
          </w:p>
        </w:tc>
        <w:tc>
          <w:tcPr>
            <w:tcW w:w="700"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p>
        </w:tc>
        <w:tc>
          <w:tcPr>
            <w:tcW w:w="563"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9</w:t>
            </w:r>
          </w:p>
        </w:tc>
        <w:tc>
          <w:tcPr>
            <w:tcW w:w="950"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家</w:t>
            </w:r>
          </w:p>
        </w:tc>
        <w:tc>
          <w:tcPr>
            <w:tcW w:w="1850"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历年活动资料与2022年活动计划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2"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可持续影响</w:t>
            </w:r>
          </w:p>
        </w:tc>
        <w:tc>
          <w:tcPr>
            <w:tcW w:w="2091" w:type="dxa"/>
            <w:tcBorders>
              <w:tl2br w:val="nil"/>
              <w:tr2bl w:val="nil"/>
            </w:tcBorders>
            <w:noWrap/>
            <w:vAlign w:val="center"/>
          </w:tcPr>
          <w:p>
            <w:pPr>
              <w:spacing w:line="300" w:lineRule="exact"/>
              <w:jc w:val="center"/>
              <w:rPr>
                <w:rFonts w:hint="default" w:ascii="Calibri" w:hAnsi="Calibri" w:eastAsia="宋体" w:cs="Calibri"/>
                <w:i w:val="0"/>
                <w:iCs w:val="0"/>
                <w:color w:val="000000"/>
                <w:kern w:val="2"/>
                <w:sz w:val="22"/>
                <w:szCs w:val="22"/>
                <w:u w:val="none"/>
                <w:lang w:val="en-US" w:eastAsia="zh-CN" w:bidi="ar-SA"/>
              </w:rPr>
            </w:pPr>
            <w:r>
              <w:rPr>
                <w:rFonts w:hint="default" w:ascii="Times New Roman" w:hAnsi="Times New Roman" w:eastAsia="仿宋_GB2312" w:cs="Times New Roman"/>
                <w:lang w:val="en-US" w:eastAsia="zh-CN"/>
              </w:rPr>
              <w:t>社会影响力</w:t>
            </w:r>
          </w:p>
        </w:tc>
        <w:tc>
          <w:tcPr>
            <w:tcW w:w="2089" w:type="dxa"/>
            <w:tcBorders>
              <w:tl2br w:val="nil"/>
              <w:tr2bl w:val="nil"/>
            </w:tcBorders>
            <w:noWrap/>
            <w:vAlign w:val="center"/>
          </w:tcPr>
          <w:p>
            <w:pPr>
              <w:spacing w:line="300" w:lineRule="exact"/>
              <w:jc w:val="center"/>
              <w:rPr>
                <w:rFonts w:hint="default" w:ascii="Calibri" w:hAnsi="Calibri" w:eastAsia="宋体" w:cs="Calibri"/>
                <w:i w:val="0"/>
                <w:iCs w:val="0"/>
                <w:color w:val="000000"/>
                <w:kern w:val="2"/>
                <w:sz w:val="22"/>
                <w:szCs w:val="22"/>
                <w:u w:val="none"/>
                <w:lang w:val="en-US" w:eastAsia="zh-CN" w:bidi="ar-SA"/>
              </w:rPr>
            </w:pPr>
            <w:r>
              <w:rPr>
                <w:rFonts w:hint="default" w:ascii="Times New Roman" w:hAnsi="Times New Roman" w:eastAsia="仿宋_GB2312" w:cs="Times New Roman"/>
                <w:lang w:val="en-US" w:eastAsia="zh-CN"/>
              </w:rPr>
              <w:t>&gt;=95%,优；&gt;85%,良；&lt;70%,差。</w:t>
            </w:r>
          </w:p>
        </w:tc>
        <w:tc>
          <w:tcPr>
            <w:tcW w:w="1820" w:type="dxa"/>
            <w:tcBorders>
              <w:tl2br w:val="nil"/>
              <w:tr2bl w:val="nil"/>
            </w:tcBorders>
            <w:noWrap/>
            <w:vAlign w:val="center"/>
          </w:tcPr>
          <w:p>
            <w:pPr>
              <w:spacing w:line="300" w:lineRule="exact"/>
              <w:jc w:val="center"/>
              <w:rPr>
                <w:rFonts w:hint="default" w:ascii="Calibri" w:hAnsi="Calibri" w:eastAsia="宋体" w:cs="Calibri"/>
                <w:i w:val="0"/>
                <w:iCs w:val="0"/>
                <w:color w:val="000000"/>
                <w:kern w:val="2"/>
                <w:sz w:val="22"/>
                <w:szCs w:val="22"/>
                <w:u w:val="none"/>
                <w:lang w:val="en-US" w:eastAsia="zh-CN" w:bidi="ar-SA"/>
              </w:rPr>
            </w:pPr>
            <w:r>
              <w:rPr>
                <w:rFonts w:hint="default" w:ascii="Times New Roman" w:hAnsi="Times New Roman" w:eastAsia="仿宋_GB2312" w:cs="Times New Roman"/>
                <w:lang w:val="en-US" w:eastAsia="zh-CN"/>
              </w:rPr>
              <w:t>增强社会各界人士参与红十字活动的积极性</w:t>
            </w:r>
          </w:p>
        </w:tc>
        <w:tc>
          <w:tcPr>
            <w:tcW w:w="700"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文字描述</w:t>
            </w:r>
          </w:p>
        </w:tc>
        <w:tc>
          <w:tcPr>
            <w:tcW w:w="563"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p>
        </w:tc>
        <w:tc>
          <w:tcPr>
            <w:tcW w:w="950" w:type="dxa"/>
            <w:tcBorders>
              <w:tl2br w:val="nil"/>
              <w:tr2bl w:val="nil"/>
            </w:tcBorders>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有所提升</w:t>
            </w:r>
          </w:p>
        </w:tc>
        <w:tc>
          <w:tcPr>
            <w:tcW w:w="1850" w:type="dxa"/>
            <w:tcBorders>
              <w:tl2br w:val="nil"/>
              <w:tr2bl w:val="nil"/>
            </w:tcBorders>
            <w:vAlign w:val="center"/>
          </w:tcPr>
          <w:p>
            <w:pPr>
              <w:spacing w:line="300" w:lineRule="exact"/>
              <w:jc w:val="center"/>
              <w:rPr>
                <w:rFonts w:hint="default" w:ascii="Calibri" w:hAnsi="Calibri" w:eastAsia="宋体" w:cs="Calibri"/>
                <w:i w:val="0"/>
                <w:iCs w:val="0"/>
                <w:color w:val="000000"/>
                <w:kern w:val="2"/>
                <w:sz w:val="22"/>
                <w:szCs w:val="22"/>
                <w:u w:val="none"/>
                <w:lang w:val="en-US" w:eastAsia="zh-CN" w:bidi="ar-SA"/>
              </w:rPr>
            </w:pPr>
            <w:r>
              <w:rPr>
                <w:rFonts w:hint="default" w:ascii="Times New Roman" w:hAnsi="Times New Roman" w:eastAsia="仿宋_GB2312" w:cs="Times New Roman"/>
                <w:lang w:val="en-US"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2" w:hRule="atLeast"/>
          <w:jc w:val="center"/>
        </w:trPr>
        <w:tc>
          <w:tcPr>
            <w:tcW w:w="1190" w:type="dxa"/>
            <w:vMerge w:val="continue"/>
            <w:tcBorders>
              <w:tl2br w:val="nil"/>
              <w:tr2bl w:val="nil"/>
            </w:tcBorders>
            <w:vAlign w:val="center"/>
          </w:tcPr>
          <w:p/>
        </w:tc>
        <w:tc>
          <w:tcPr>
            <w:tcW w:w="937" w:type="dxa"/>
            <w:tcBorders>
              <w:tl2br w:val="nil"/>
              <w:tr2bl w:val="nil"/>
            </w:tcBorders>
            <w:vAlign w:val="center"/>
          </w:tcPr>
          <w:p>
            <w:pPr>
              <w:adjustRightInd w:val="0"/>
              <w:snapToGrid w:val="0"/>
              <w:jc w:val="center"/>
              <w:rPr>
                <w:rFonts w:hint="eastAsia" w:ascii="方正书宋_GBK" w:eastAsia="方正书宋_GBK"/>
              </w:rPr>
            </w:pPr>
            <w:r>
              <w:rPr>
                <w:rFonts w:hint="eastAsia" w:ascii="方正书宋_GBK" w:eastAsia="方正书宋_GBK"/>
              </w:rPr>
              <w:t>满意度</w:t>
            </w:r>
          </w:p>
        </w:tc>
        <w:tc>
          <w:tcPr>
            <w:tcW w:w="2091" w:type="dxa"/>
            <w:tcBorders>
              <w:tl2br w:val="nil"/>
              <w:tr2bl w:val="nil"/>
            </w:tcBorders>
            <w:noWrap/>
            <w:vAlign w:val="center"/>
          </w:tcPr>
          <w:p>
            <w:pPr>
              <w:spacing w:line="300" w:lineRule="exact"/>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培训人员满意度</w:t>
            </w:r>
          </w:p>
        </w:tc>
        <w:tc>
          <w:tcPr>
            <w:tcW w:w="2089" w:type="dxa"/>
            <w:tcBorders>
              <w:tl2br w:val="nil"/>
              <w:tr2bl w:val="nil"/>
            </w:tcBorders>
            <w:noWrap/>
            <w:vAlign w:val="center"/>
          </w:tcPr>
          <w:p>
            <w:pPr>
              <w:spacing w:line="300" w:lineRule="exact"/>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&gt;=95%,优；&gt;85%,良；&lt;70%,差。</w:t>
            </w:r>
          </w:p>
        </w:tc>
        <w:tc>
          <w:tcPr>
            <w:tcW w:w="1820" w:type="dxa"/>
            <w:tcBorders>
              <w:tl2br w:val="nil"/>
              <w:tr2bl w:val="nil"/>
            </w:tcBorders>
            <w:noWrap/>
            <w:vAlign w:val="center"/>
          </w:tcPr>
          <w:p>
            <w:pPr>
              <w:spacing w:line="300" w:lineRule="exact"/>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lang w:val="en-US" w:eastAsia="zh-CN"/>
              </w:rPr>
              <w:t>考察培训人员的满意情况</w:t>
            </w:r>
          </w:p>
        </w:tc>
        <w:tc>
          <w:tcPr>
            <w:tcW w:w="700"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2"/>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563" w:type="dxa"/>
            <w:tcBorders>
              <w:tl2br w:val="nil"/>
              <w:tr2bl w:val="nil"/>
            </w:tcBorders>
            <w:vAlign w:val="center"/>
          </w:tcPr>
          <w:p>
            <w:pPr>
              <w:keepNext w:val="0"/>
              <w:keepLines w:val="0"/>
              <w:widowControl/>
              <w:suppressLineNumbers w:val="0"/>
              <w:jc w:val="center"/>
              <w:textAlignment w:val="top"/>
              <w:rPr>
                <w:rFonts w:hint="default"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95</w:t>
            </w:r>
          </w:p>
        </w:tc>
        <w:tc>
          <w:tcPr>
            <w:tcW w:w="950" w:type="dxa"/>
            <w:tcBorders>
              <w:tl2br w:val="nil"/>
              <w:tr2bl w:val="nil"/>
            </w:tcBorders>
            <w:vAlign w:val="center"/>
          </w:tcPr>
          <w:p>
            <w:pPr>
              <w:keepNext w:val="0"/>
              <w:keepLines w:val="0"/>
              <w:widowControl/>
              <w:suppressLineNumbers w:val="0"/>
              <w:jc w:val="center"/>
              <w:textAlignment w:val="top"/>
              <w:rPr>
                <w:rFonts w:hint="default" w:ascii="Times New Roman" w:hAnsi="Times New Roman" w:eastAsia="仿宋_GB2312" w:cs="Times New Roman"/>
                <w:kern w:val="2"/>
                <w:sz w:val="21"/>
                <w:szCs w:val="22"/>
                <w:lang w:val="en-US" w:eastAsia="zh-CN" w:bidi="ar-SA"/>
              </w:rPr>
            </w:pPr>
            <w:r>
              <w:rPr>
                <w:rFonts w:hint="default" w:ascii="Calibri" w:hAnsi="Calibri" w:eastAsia="宋体" w:cs="Calibri"/>
                <w:i w:val="0"/>
                <w:iCs w:val="0"/>
                <w:color w:val="000000"/>
                <w:kern w:val="0"/>
                <w:sz w:val="22"/>
                <w:szCs w:val="22"/>
                <w:u w:val="none"/>
                <w:lang w:val="en-US" w:eastAsia="zh-CN" w:bidi="ar"/>
              </w:rPr>
              <w:t>%</w:t>
            </w:r>
          </w:p>
        </w:tc>
        <w:tc>
          <w:tcPr>
            <w:tcW w:w="1850" w:type="dxa"/>
            <w:tcBorders>
              <w:tl2br w:val="nil"/>
              <w:tr2bl w:val="nil"/>
            </w:tcBorders>
            <w:vAlign w:val="top"/>
          </w:tcPr>
          <w:p>
            <w:pPr>
              <w:keepNext w:val="0"/>
              <w:keepLines w:val="0"/>
              <w:widowControl/>
              <w:suppressLineNumbers w:val="0"/>
              <w:jc w:val="left"/>
              <w:textAlignment w:val="top"/>
              <w:rPr>
                <w:rFonts w:hint="default" w:ascii="Calibri" w:hAnsi="Calibri" w:eastAsia="宋体" w:cs="Calibri"/>
                <w:i w:val="0"/>
                <w:iCs w:val="0"/>
                <w:color w:val="000000"/>
                <w:kern w:val="2"/>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rPr>
          <w:rFonts w:ascii="Times New Roman" w:hAnsi="Times New Roman" w:eastAsia="仿宋_GB2312" w:cs="Times New Roman"/>
          <w:sz w:val="28"/>
        </w:rPr>
      </w:pPr>
      <w:r>
        <w:rPr>
          <w:rFonts w:ascii="Times New Roman" w:hAnsi="Times New Roman" w:eastAsia="仿宋_GB2312" w:cs="Times New Roman"/>
          <w:sz w:val="28"/>
        </w:rPr>
        <w:t>1</w:t>
      </w:r>
      <w:bookmarkStart w:id="1" w:name="_Toc29799657"/>
      <w:bookmarkEnd w:id="1"/>
      <w:bookmarkStart w:id="2" w:name="_Toc_4_4_0000000004"/>
      <w:r>
        <w:rPr>
          <w:rFonts w:ascii="Times New Roman" w:hAnsi="Times New Roman" w:eastAsia="仿宋_GB2312" w:cs="Times New Roman"/>
          <w:sz w:val="28"/>
        </w:rPr>
        <w:t>."三救三献"工作经费绩效目标表</w:t>
      </w:r>
      <w:bookmarkEnd w:id="2"/>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rPr>
              <w:t>1.2022年计划确保各项工作保质保量及时完成，保障年内开展不少于3次的活动，充分发挥红十字会在经济社会发展中的重要作用，促进我县红十字事业持续健康发展。计划组织开展无偿献血、造血干细胞捐献、遗体器官捐献宣传等活动，加强宣传遗体人体器官捐献相关知识确保培训活动宣传内容充实，各类工作及时开展，强化“三献”宣传激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组织培训活动班次</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组织培训活动班次</w:t>
            </w:r>
          </w:p>
        </w:tc>
        <w:tc>
          <w:tcPr>
            <w:tcW w:w="1843" w:type="dxa"/>
            <w:shd w:val="clear" w:color="auto" w:fill="auto"/>
            <w:vAlign w:val="center"/>
          </w:tcPr>
          <w:p>
            <w:pPr>
              <w:pStyle w:val="12"/>
              <w:rPr>
                <w:rFonts w:ascii="方正书宋_GBK" w:hAnsi="方正书宋_GBK" w:eastAsia="方正书宋_GBK" w:cs="方正书宋_GBK"/>
                <w:kern w:val="2"/>
                <w:sz w:val="21"/>
                <w:szCs w:val="22"/>
                <w:lang w:val="en-US" w:eastAsia="zh-CN" w:bidi="ar-SA"/>
              </w:rPr>
            </w:pPr>
            <w:r>
              <w:t>≥3次</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依据历年工作实际情况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全县覆盖率</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全县覆盖率</w:t>
            </w:r>
          </w:p>
        </w:tc>
        <w:tc>
          <w:tcPr>
            <w:tcW w:w="1843" w:type="dxa"/>
            <w:shd w:val="clear" w:color="auto" w:fill="auto"/>
            <w:vAlign w:val="center"/>
          </w:tcPr>
          <w:p>
            <w:pPr>
              <w:pStyle w:val="12"/>
              <w:rPr>
                <w:rFonts w:ascii="方正书宋_GBK" w:hAnsi="方正书宋_GBK" w:eastAsia="方正书宋_GBK" w:cs="方正书宋_GBK"/>
                <w:kern w:val="2"/>
                <w:sz w:val="21"/>
                <w:szCs w:val="22"/>
                <w:lang w:val="en-US" w:eastAsia="zh-CN" w:bidi="ar-SA"/>
              </w:rPr>
            </w:pPr>
            <w:r>
              <w:t>≥95%</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依据历年工作实际情况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活动举办时间</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活动举办时间</w:t>
            </w:r>
          </w:p>
        </w:tc>
        <w:tc>
          <w:tcPr>
            <w:tcW w:w="1843" w:type="dxa"/>
            <w:shd w:val="clear" w:color="auto" w:fill="auto"/>
            <w:vAlign w:val="center"/>
          </w:tcPr>
          <w:p>
            <w:pPr>
              <w:pStyle w:val="12"/>
              <w:rPr>
                <w:rFonts w:ascii="方正书宋_GBK" w:hAnsi="方正书宋_GBK" w:eastAsia="方正书宋_GBK" w:cs="方正书宋_GBK"/>
                <w:kern w:val="2"/>
                <w:sz w:val="21"/>
                <w:szCs w:val="22"/>
                <w:lang w:val="en-US" w:eastAsia="zh-CN" w:bidi="ar-SA"/>
              </w:rPr>
            </w:pPr>
            <w:r>
              <w:t>≤12月</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依据历年工作实际情况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因活动产生的人员、材料、场地等费用</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因活动产生的人员、材料、场地等费用</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≤4万</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活动影响力</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通过活动影响的企业范围</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≥9家</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历年活动资料与2022年活动计划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活动长效管理影响力</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进一步加强新时期红十字工作，充分发挥红十字会在经济社会发展中</w:t>
            </w:r>
          </w:p>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的重要作用</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有所提升</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培训人员满意度</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考察培训人员的满意情况</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outlineLvl w:val="3"/>
        <w:rPr>
          <w:rFonts w:ascii="Times New Roman" w:hAnsi="Times New Roman" w:eastAsia="仿宋_GB2312" w:cs="Times New Roman"/>
          <w:sz w:val="28"/>
        </w:rPr>
      </w:pPr>
    </w:p>
    <w:p>
      <w:pPr>
        <w:ind w:firstLine="560"/>
        <w:outlineLvl w:val="3"/>
        <w:rPr>
          <w:rFonts w:ascii="Times New Roman" w:hAnsi="Times New Roman" w:eastAsia="仿宋_GB2312" w:cs="Times New Roman"/>
          <w:sz w:val="28"/>
        </w:rPr>
      </w:pPr>
      <w:r>
        <w:rPr>
          <w:rFonts w:ascii="Times New Roman" w:hAnsi="Times New Roman" w:eastAsia="仿宋_GB2312" w:cs="Times New Roman"/>
          <w:sz w:val="28"/>
        </w:rPr>
        <w:t>2</w:t>
      </w:r>
      <w:bookmarkStart w:id="3" w:name="_Toc_4_4_0000000005"/>
      <w:r>
        <w:rPr>
          <w:rFonts w:ascii="Times New Roman" w:hAnsi="Times New Roman" w:eastAsia="仿宋_GB2312" w:cs="Times New Roman"/>
          <w:sz w:val="28"/>
        </w:rPr>
        <w:t>.日常业务经费绩效目标表</w:t>
      </w:r>
      <w:bookmarkEnd w:id="3"/>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1.加强新时期红十字工作，充分发挥红十字会在经济社会发展中的重要作用，促进我县红十字事业持续健康发展</w:t>
            </w:r>
          </w:p>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2.提升对发展红十字事业重要意义的认识</w:t>
            </w:r>
          </w:p>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3.保障红十字会依法履行职责</w:t>
            </w:r>
          </w:p>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4.加强红十字会组织和队伍建设</w:t>
            </w:r>
          </w:p>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5.健全红十字工作运行机制</w:t>
            </w:r>
          </w:p>
          <w:p>
            <w:pPr>
              <w:pStyle w:val="12"/>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6.推进红十字事业科学发展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日常办公用品正常投入供给使用</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考察日常办公用品供给使用月数</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办公用品使用</w:t>
            </w:r>
          </w:p>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使用率</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购买后投入到正常工作的使用率</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采购申请情况</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采购的及时性</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采购成本</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采购日常办公物资成本</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≤3万</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按时按量完成工作情况</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 计划完成情况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增强社会各界人士参与红十字活动的积极性</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有所提升</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使用人员满意度</w:t>
            </w:r>
          </w:p>
        </w:tc>
        <w:tc>
          <w:tcPr>
            <w:tcW w:w="3402"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考察办公用品使用人员的满意度</w:t>
            </w:r>
          </w:p>
        </w:tc>
        <w:tc>
          <w:tcPr>
            <w:tcW w:w="1843"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2"/>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2022年，我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4"/>
    <w:p>
      <w:pPr>
        <w:spacing w:line="584" w:lineRule="exact"/>
        <w:jc w:val="left"/>
        <w:outlineLvl w:val="0"/>
        <w:rPr>
          <w:rFonts w:ascii="Times New Roman" w:hAnsi="Times New Roman" w:eastAsia="仿宋_GB2312" w:cs="Times New Roman"/>
        </w:rPr>
      </w:pPr>
    </w:p>
    <w:p>
      <w:pPr>
        <w:jc w:val="center"/>
        <w:outlineLvl w:val="1"/>
        <w:rPr>
          <w:rFonts w:hint="eastAsia" w:ascii="方正小标宋_GBK" w:eastAsia="方正小标宋_GBK" w:cs="Times New Roman"/>
          <w:sz w:val="32"/>
        </w:rPr>
      </w:pPr>
      <w:bookmarkStart w:id="5" w:name="_Toc64920910"/>
    </w:p>
    <w:p>
      <w:pPr>
        <w:jc w:val="center"/>
        <w:outlineLvl w:val="1"/>
        <w:rPr>
          <w:rFonts w:hint="eastAsia" w:ascii="方正小标宋_GBK" w:eastAsia="方正小标宋_GBK" w:cs="Times New Roman"/>
          <w:sz w:val="32"/>
        </w:rPr>
      </w:pPr>
    </w:p>
    <w:p>
      <w:pPr>
        <w:jc w:val="center"/>
        <w:outlineLvl w:val="1"/>
        <w:rPr>
          <w:rFonts w:ascii="Times New Roman" w:hAnsi="Times New Roman" w:cs="Times New Roman"/>
          <w:sz w:val="32"/>
        </w:rPr>
      </w:pPr>
      <w:r>
        <w:rPr>
          <w:rFonts w:hint="eastAsia" w:ascii="方正小标宋_GBK" w:eastAsia="方正小标宋_GBK" w:cs="Times New Roman"/>
          <w:sz w:val="32"/>
        </w:rPr>
        <w:t>单位政府采购预算</w:t>
      </w:r>
      <w:bookmarkEnd w:id="5"/>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lang w:val="en-US" w:eastAsia="zh-CN"/>
              </w:rPr>
              <w:t>香河县红十字会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红十字会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29.5533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lang w:eastAsia="zh-CN"/>
        </w:rPr>
        <w:t>。详见下表。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lang w:eastAsia="zh-CN"/>
              </w:rPr>
              <w:t>红十字会</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29.5533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13.5533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lang w:eastAsia="zh-CN"/>
        </w:rPr>
        <w:t>县级</w:t>
      </w:r>
      <w:r>
        <w:rPr>
          <w:rFonts w:ascii="Times New Roman" w:hAnsi="Times New Roman" w:eastAsia="仿宋_GB2312" w:cs="Times New Roman"/>
          <w:sz w:val="32"/>
          <w:szCs w:val="32"/>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p>
      <w:pPr>
        <w:spacing w:line="584" w:lineRule="exact"/>
        <w:rPr>
          <w:rFonts w:ascii="Times New Roman" w:hAnsi="Times New Roman" w:eastAsia="仿宋_GB2312" w:cs="Times New Roman"/>
          <w:sz w:val="32"/>
          <w:szCs w:val="32"/>
        </w:rPr>
      </w:pPr>
      <w:bookmarkStart w:id="6" w:name="_GoBack"/>
      <w:bookmarkEnd w:id="6"/>
    </w:p>
    <w:sectPr>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E09D1C3-ECF2-4464-A508-711F5EDA7AB5}"/>
  </w:font>
  <w:font w:name="黑体">
    <w:panose1 w:val="02010609060101010101"/>
    <w:charset w:val="86"/>
    <w:family w:val="auto"/>
    <w:pitch w:val="default"/>
    <w:sig w:usb0="800002BF" w:usb1="38CF7CFA" w:usb2="00000016" w:usb3="00000000" w:csb0="00040001" w:csb1="00000000"/>
    <w:embedRegular r:id="rId2" w:fontKey="{71016094-E7F2-4589-AF05-F1D8B3E32DA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EC04EFF3-4B2A-4384-A1CA-5457104D7E42}"/>
  </w:font>
  <w:font w:name="方正书宋_GBK">
    <w:altName w:val="微软雅黑"/>
    <w:panose1 w:val="00000000000000000000"/>
    <w:charset w:val="86"/>
    <w:family w:val="script"/>
    <w:pitch w:val="default"/>
    <w:sig w:usb0="00000000" w:usb1="00000000" w:usb2="00000010" w:usb3="00000000" w:csb0="00040000" w:csb1="00000000"/>
    <w:embedRegular r:id="rId4" w:fontKey="{170FAEAE-6EC3-40B4-8582-FC40A2B62F59}"/>
  </w:font>
  <w:font w:name="方正仿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embedRegular r:id="rId5" w:fontKey="{B683EEB3-C776-43B0-99E9-6868DC232019}"/>
  </w:font>
  <w:font w:name="方正小标宋简体">
    <w:panose1 w:val="02000000000000000000"/>
    <w:charset w:val="86"/>
    <w:family w:val="auto"/>
    <w:pitch w:val="default"/>
    <w:sig w:usb0="00000001" w:usb1="08000000" w:usb2="00000000" w:usb3="00000000" w:csb0="00040000" w:csb1="00000000"/>
    <w:embedRegular r:id="rId6" w:fontKey="{85E4B8BD-86C1-41D9-961A-55E1EA31DB70}"/>
  </w:font>
  <w:font w:name="楷体_GB2312">
    <w:altName w:val="楷体"/>
    <w:panose1 w:val="02010609030101010101"/>
    <w:charset w:val="86"/>
    <w:family w:val="modern"/>
    <w:pitch w:val="default"/>
    <w:sig w:usb0="00000000" w:usb1="00000000" w:usb2="00000010" w:usb3="00000000" w:csb0="00040000" w:csb1="00000000"/>
    <w:embedRegular r:id="rId7" w:fontKey="{E93F2890-C214-4694-AD5D-B8AE7B6DE512}"/>
  </w:font>
  <w:font w:name="仿宋">
    <w:panose1 w:val="02010609060101010101"/>
    <w:charset w:val="86"/>
    <w:family w:val="auto"/>
    <w:pitch w:val="default"/>
    <w:sig w:usb0="800002BF" w:usb1="38CF7CFA" w:usb2="00000016" w:usb3="00000000" w:csb0="00040001" w:csb1="00000000"/>
    <w:embedRegular r:id="rId8" w:fontKey="{10228493-0DC7-40F1-97DF-95A449A74B63}"/>
  </w:font>
  <w:font w:name="方正小标宋_GBK">
    <w:panose1 w:val="02000000000000000000"/>
    <w:charset w:val="86"/>
    <w:family w:val="script"/>
    <w:pitch w:val="default"/>
    <w:sig w:usb0="A00002BF" w:usb1="38CF7CFA" w:usb2="00082016" w:usb3="00000000" w:csb0="00040001" w:csb1="00000000"/>
    <w:embedRegular r:id="rId9" w:fontKey="{27E03A25-9D55-43FE-987D-2DC596A6A85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1AAC1"/>
    <w:multiLevelType w:val="singleLevel"/>
    <w:tmpl w:val="8EF1AAC1"/>
    <w:lvl w:ilvl="0" w:tentative="0">
      <w:start w:val="2"/>
      <w:numFmt w:val="decimal"/>
      <w:suff w:val="nothing"/>
      <w:lvlText w:val="%1、"/>
      <w:lvlJc w:val="left"/>
    </w:lvl>
  </w:abstractNum>
  <w:abstractNum w:abstractNumId="1">
    <w:nsid w:val="6CE6487A"/>
    <w:multiLevelType w:val="singleLevel"/>
    <w:tmpl w:val="6CE6487A"/>
    <w:lvl w:ilvl="0" w:tentative="0">
      <w:start w:val="4"/>
      <w:numFmt w:val="chineseCounting"/>
      <w:suff w:val="nothing"/>
      <w:lvlText w:val="（%1）"/>
      <w:lvlJc w:val="left"/>
      <w:rPr>
        <w:rFonts w:hint="eastAsia"/>
      </w:rPr>
    </w:lvl>
  </w:abstractNum>
  <w:abstractNum w:abstractNumId="2">
    <w:nsid w:val="73BD9922"/>
    <w:multiLevelType w:val="singleLevel"/>
    <w:tmpl w:val="73BD9922"/>
    <w:lvl w:ilvl="0" w:tentative="0">
      <w:start w:val="1"/>
      <w:numFmt w:val="chineseCounting"/>
      <w:suff w:val="nothing"/>
      <w:lvlText w:val="%1、"/>
      <w:lvlJc w:val="left"/>
      <w:rPr>
        <w:rFonts w:hint="eastAsia"/>
      </w:rPr>
    </w:lvl>
  </w:abstractNum>
  <w:abstractNum w:abstractNumId="3">
    <w:nsid w:val="7C1A8D60"/>
    <w:multiLevelType w:val="singleLevel"/>
    <w:tmpl w:val="7C1A8D60"/>
    <w:lvl w:ilvl="0" w:tentative="0">
      <w:start w:val="5"/>
      <w:numFmt w:val="chineseCounting"/>
      <w:suff w:val="nothing"/>
      <w:lvlText w:val="%1、"/>
      <w:lvlJc w:val="left"/>
      <w:pPr>
        <w:ind w:left="-1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DFiN2M0Yjc3NzhkZWZlOGJlY2U5ODQxZDVlOTIifQ=="/>
  </w:docVars>
  <w:rsids>
    <w:rsidRoot w:val="00D347CC"/>
    <w:rsid w:val="00007D86"/>
    <w:rsid w:val="001C1ECC"/>
    <w:rsid w:val="002C7716"/>
    <w:rsid w:val="004A34CA"/>
    <w:rsid w:val="004A54AA"/>
    <w:rsid w:val="004F2381"/>
    <w:rsid w:val="00660AC0"/>
    <w:rsid w:val="00741520"/>
    <w:rsid w:val="007C03A7"/>
    <w:rsid w:val="007D234F"/>
    <w:rsid w:val="00940421"/>
    <w:rsid w:val="009C0E60"/>
    <w:rsid w:val="009D6EC9"/>
    <w:rsid w:val="00A32D70"/>
    <w:rsid w:val="00A5751E"/>
    <w:rsid w:val="00AB1BD0"/>
    <w:rsid w:val="00B80935"/>
    <w:rsid w:val="00BD1ACE"/>
    <w:rsid w:val="00D347CC"/>
    <w:rsid w:val="00D77538"/>
    <w:rsid w:val="00DC702A"/>
    <w:rsid w:val="00EE67B1"/>
    <w:rsid w:val="00F85553"/>
    <w:rsid w:val="01F32AEB"/>
    <w:rsid w:val="020E08DE"/>
    <w:rsid w:val="05B97F73"/>
    <w:rsid w:val="0B730D9E"/>
    <w:rsid w:val="0F8A2B1F"/>
    <w:rsid w:val="11C049F1"/>
    <w:rsid w:val="131B27C1"/>
    <w:rsid w:val="16D104C9"/>
    <w:rsid w:val="17827825"/>
    <w:rsid w:val="1A236B4A"/>
    <w:rsid w:val="24A3548D"/>
    <w:rsid w:val="268D36CB"/>
    <w:rsid w:val="277E53EF"/>
    <w:rsid w:val="305D7B83"/>
    <w:rsid w:val="3A9300DE"/>
    <w:rsid w:val="410558B4"/>
    <w:rsid w:val="41AC0539"/>
    <w:rsid w:val="43294BC8"/>
    <w:rsid w:val="460D243F"/>
    <w:rsid w:val="48D960E2"/>
    <w:rsid w:val="4AB27C27"/>
    <w:rsid w:val="507C305D"/>
    <w:rsid w:val="596A414B"/>
    <w:rsid w:val="73DA2B5B"/>
    <w:rsid w:val="79526DB4"/>
    <w:rsid w:val="7D9A0EF4"/>
    <w:rsid w:val="7F8E4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插入文本样式-插入总体目标文件"/>
    <w:basedOn w:val="1"/>
    <w:qFormat/>
    <w:uiPriority w:val="0"/>
    <w:pPr>
      <w:spacing w:line="500" w:lineRule="exact"/>
      <w:ind w:firstLine="560"/>
    </w:pPr>
    <w:rPr>
      <w:rFonts w:eastAsia="方正仿宋_GBK"/>
      <w:sz w:val="28"/>
    </w:rPr>
  </w:style>
  <w:style w:type="paragraph" w:customStyle="1" w:styleId="14">
    <w:name w:val="插入文本样式-插入职责分类绩效目标文件"/>
    <w:basedOn w:val="1"/>
    <w:qFormat/>
    <w:uiPriority w:val="0"/>
    <w:pPr>
      <w:spacing w:line="500" w:lineRule="exact"/>
      <w:ind w:firstLine="560"/>
    </w:pPr>
    <w:rPr>
      <w:rFonts w:eastAsia="方正仿宋_GBK"/>
      <w:sz w:val="28"/>
    </w:rPr>
  </w:style>
  <w:style w:type="paragraph" w:customStyle="1" w:styleId="15">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5750</Words>
  <Characters>5965</Characters>
  <Lines>21</Lines>
  <Paragraphs>5</Paragraphs>
  <TotalTime>0</TotalTime>
  <ScaleCrop>false</ScaleCrop>
  <LinksUpToDate>false</LinksUpToDate>
  <CharactersWithSpaces>5998</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揣糖</cp:lastModifiedBy>
  <cp:lastPrinted>2018-01-30T06:12:00Z</cp:lastPrinted>
  <dcterms:modified xsi:type="dcterms:W3CDTF">2023-10-11T05:52:06Z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BB9C3BCA4E534872BF307D2A85EDFB1B</vt:lpwstr>
  </property>
</Properties>
</file>